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1"/>
        <w:gridCol w:w="5263"/>
      </w:tblGrid>
      <w:tr w:rsidR="00C30DB0" w:rsidTr="00C30DB0">
        <w:tc>
          <w:tcPr>
            <w:tcW w:w="10564" w:type="dxa"/>
            <w:gridSpan w:val="2"/>
          </w:tcPr>
          <w:p w:rsidR="00C30DB0" w:rsidRDefault="001451FA" w:rsidP="00C30DB0">
            <w:pPr>
              <w:jc w:val="center"/>
            </w:pPr>
            <w:r>
              <w:object w:dxaOrig="12840" w:dyaOrig="3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6.65pt;height:154.95pt" o:ole="">
                  <v:imagedata r:id="rId7" o:title=""/>
                </v:shape>
                <o:OLEObject Type="Embed" ProgID="PBrush" ShapeID="_x0000_i1025" DrawAspect="Content" ObjectID="_1502893910" r:id="rId8"/>
              </w:object>
            </w:r>
          </w:p>
        </w:tc>
      </w:tr>
      <w:tr w:rsidR="00C30DB0" w:rsidTr="003E6F19">
        <w:tc>
          <w:tcPr>
            <w:tcW w:w="10564" w:type="dxa"/>
            <w:gridSpan w:val="2"/>
          </w:tcPr>
          <w:p w:rsidR="00C30DB0" w:rsidRPr="00C30DB0" w:rsidRDefault="00C30DB0" w:rsidP="00C30DB0">
            <w:pPr>
              <w:jc w:val="center"/>
              <w:rPr>
                <w:b/>
              </w:rPr>
            </w:pPr>
            <w:r w:rsidRPr="00C30DB0">
              <w:rPr>
                <w:b/>
              </w:rPr>
              <w:t>Schéma électromécanique de simulation</w:t>
            </w:r>
          </w:p>
        </w:tc>
      </w:tr>
      <w:tr w:rsidR="00C30DB0" w:rsidTr="00C30DB0">
        <w:tc>
          <w:tcPr>
            <w:tcW w:w="5301" w:type="dxa"/>
          </w:tcPr>
          <w:p w:rsidR="00C30DB0" w:rsidRDefault="00C30DB0" w:rsidP="00C30DB0">
            <w:pPr>
              <w:jc w:val="center"/>
            </w:pPr>
          </w:p>
          <w:p w:rsidR="00BB25FB" w:rsidRDefault="00BB25FB" w:rsidP="00C30DB0">
            <w:pPr>
              <w:jc w:val="center"/>
            </w:pPr>
          </w:p>
          <w:p w:rsidR="00C30DB0" w:rsidRDefault="00C30DB0" w:rsidP="00C30DB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F46A028" wp14:editId="137B064F">
                  <wp:extent cx="3099172" cy="1078301"/>
                  <wp:effectExtent l="0" t="0" r="635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124" cy="108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1FA" w:rsidRDefault="001451FA" w:rsidP="00C30DB0">
            <w:pPr>
              <w:jc w:val="center"/>
            </w:pPr>
            <w:r>
              <w:t>Modèle d’un enroulement (ou phase)</w:t>
            </w:r>
          </w:p>
          <w:p w:rsidR="001A61F0" w:rsidRDefault="001A61F0" w:rsidP="00C30DB0">
            <w:pPr>
              <w:jc w:val="center"/>
            </w:pPr>
            <w:r>
              <w:object w:dxaOrig="5475" w:dyaOrig="5460">
                <v:shape id="_x0000_i1026" type="#_x0000_t75" style="width:241.35pt;height:240.75pt" o:ole="">
                  <v:imagedata r:id="rId10" o:title=""/>
                </v:shape>
                <o:OLEObject Type="Embed" ProgID="PBrush" ShapeID="_x0000_i1026" DrawAspect="Content" ObjectID="_1502893911" r:id="rId11"/>
              </w:object>
            </w:r>
          </w:p>
        </w:tc>
        <w:tc>
          <w:tcPr>
            <w:tcW w:w="5263" w:type="dxa"/>
          </w:tcPr>
          <w:p w:rsidR="00C30DB0" w:rsidRDefault="00C30DB0" w:rsidP="00C30DB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1ADCE20" wp14:editId="33C9A221">
                  <wp:extent cx="2920140" cy="1802921"/>
                  <wp:effectExtent l="0" t="0" r="0" b="698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2" cy="180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980" w:rsidRPr="006B2980" w:rsidRDefault="006B2980" w:rsidP="00C30DB0">
            <w:pPr>
              <w:jc w:val="center"/>
              <w:rPr>
                <w:b/>
              </w:rPr>
            </w:pPr>
            <w:proofErr w:type="spellStart"/>
            <w:r w:rsidRPr="006B2980">
              <w:rPr>
                <w:b/>
              </w:rPr>
              <w:t>Gear</w:t>
            </w:r>
            <w:proofErr w:type="spellEnd"/>
            <w:r w:rsidRPr="006B2980">
              <w:rPr>
                <w:b/>
              </w:rPr>
              <w:t xml:space="preserve"> ratio = rapport de réduction</w:t>
            </w:r>
          </w:p>
          <w:p w:rsidR="00C30DB0" w:rsidRDefault="00C30DB0" w:rsidP="00C30DB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95D933E" wp14:editId="75E6A7C2">
                  <wp:extent cx="2863972" cy="2147978"/>
                  <wp:effectExtent l="0" t="0" r="0" b="508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110" cy="215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980" w:rsidRDefault="006B2980" w:rsidP="00C30DB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BEAF72" wp14:editId="2A5D6688">
                  <wp:extent cx="2933851" cy="342918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851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980" w:rsidRPr="006B2980" w:rsidRDefault="006B2980" w:rsidP="00C30DB0">
            <w:pPr>
              <w:jc w:val="center"/>
              <w:rPr>
                <w:b/>
                <w:i/>
              </w:rPr>
            </w:pPr>
            <w:r w:rsidRPr="006B2980">
              <w:rPr>
                <w:b/>
                <w:i/>
              </w:rPr>
              <w:t>T</w:t>
            </w:r>
            <w:r w:rsidRPr="006B2980">
              <w:rPr>
                <w:b/>
                <w:i/>
                <w:vertAlign w:val="subscript"/>
              </w:rPr>
              <w:t>L</w:t>
            </w:r>
            <w:r w:rsidRPr="006B2980">
              <w:rPr>
                <w:b/>
                <w:i/>
              </w:rPr>
              <w:t xml:space="preserve"> = Torque </w:t>
            </w:r>
            <w:proofErr w:type="spellStart"/>
            <w:r w:rsidRPr="006B2980">
              <w:rPr>
                <w:b/>
                <w:i/>
              </w:rPr>
              <w:t>load</w:t>
            </w:r>
            <w:proofErr w:type="spellEnd"/>
          </w:p>
        </w:tc>
      </w:tr>
      <w:tr w:rsidR="00C30DB0" w:rsidTr="00C30DB0">
        <w:tc>
          <w:tcPr>
            <w:tcW w:w="5301" w:type="dxa"/>
          </w:tcPr>
          <w:p w:rsidR="00C30DB0" w:rsidRPr="00C30DB0" w:rsidRDefault="00C30DB0" w:rsidP="00C30DB0">
            <w:pPr>
              <w:jc w:val="center"/>
              <w:rPr>
                <w:b/>
                <w:noProof/>
                <w:lang w:eastAsia="fr-FR"/>
              </w:rPr>
            </w:pPr>
            <w:r w:rsidRPr="00C30DB0">
              <w:rPr>
                <w:b/>
                <w:noProof/>
                <w:lang w:eastAsia="fr-FR"/>
              </w:rPr>
              <w:t xml:space="preserve">Paramètres </w:t>
            </w:r>
            <w:r>
              <w:rPr>
                <w:b/>
                <w:noProof/>
                <w:lang w:eastAsia="fr-FR"/>
              </w:rPr>
              <w:t xml:space="preserve">et modèle </w:t>
            </w:r>
            <w:r w:rsidRPr="00C30DB0">
              <w:rPr>
                <w:b/>
                <w:noProof/>
                <w:lang w:eastAsia="fr-FR"/>
              </w:rPr>
              <w:t>du moteur asynchrone</w:t>
            </w:r>
          </w:p>
        </w:tc>
        <w:tc>
          <w:tcPr>
            <w:tcW w:w="5263" w:type="dxa"/>
          </w:tcPr>
          <w:p w:rsidR="00C30DB0" w:rsidRPr="00C30DB0" w:rsidRDefault="00C30DB0" w:rsidP="00C30DB0">
            <w:pPr>
              <w:jc w:val="center"/>
              <w:rPr>
                <w:b/>
                <w:noProof/>
                <w:lang w:eastAsia="fr-FR"/>
              </w:rPr>
            </w:pPr>
            <w:r w:rsidRPr="00C30DB0">
              <w:rPr>
                <w:b/>
                <w:noProof/>
                <w:lang w:eastAsia="fr-FR"/>
              </w:rPr>
              <w:t>Paramètres du réducteur et de la charge mécanique</w:t>
            </w:r>
          </w:p>
        </w:tc>
      </w:tr>
    </w:tbl>
    <w:p w:rsidR="00C30DB0" w:rsidRPr="00FE1B34" w:rsidRDefault="00787D07" w:rsidP="00FE1B34">
      <w:pPr>
        <w:spacing w:before="60" w:after="0"/>
        <w:rPr>
          <w:b/>
        </w:rPr>
      </w:pPr>
      <w:r>
        <w:rPr>
          <w:b/>
        </w:rPr>
        <w:t>Caractéristiques de moteurs asynchrones standards 4 pôles</w:t>
      </w:r>
    </w:p>
    <w:p w:rsidR="001521D4" w:rsidRDefault="00787D07">
      <w:r>
        <w:rPr>
          <w:noProof/>
          <w:lang w:eastAsia="fr-FR"/>
        </w:rPr>
        <w:drawing>
          <wp:inline distT="0" distB="0" distL="0" distR="0" wp14:anchorId="7FB92841" wp14:editId="0F015F62">
            <wp:extent cx="6512943" cy="2078465"/>
            <wp:effectExtent l="19050" t="19050" r="21590" b="171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16577" cy="2079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51FA" w:rsidRDefault="001451FA">
      <w:r>
        <w:rPr>
          <w:noProof/>
          <w:lang w:eastAsia="fr-FR"/>
        </w:rPr>
        <w:lastRenderedPageBreak/>
        <w:drawing>
          <wp:inline distT="0" distB="0" distL="0" distR="0" wp14:anchorId="7698049E" wp14:editId="530C5DC0">
            <wp:extent cx="6178995" cy="3884371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2381" cy="38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B14" w:rsidRPr="00D73B14" w:rsidRDefault="00D73B14" w:rsidP="00D73B14">
      <w:pPr>
        <w:spacing w:after="60"/>
        <w:rPr>
          <w:b/>
        </w:rPr>
      </w:pPr>
      <w:r w:rsidRPr="00D73B14">
        <w:rPr>
          <w:b/>
        </w:rPr>
        <w:t>COMPORTEMENT DES CHARGES MECANIQUES :</w:t>
      </w:r>
    </w:p>
    <w:p w:rsidR="0090656E" w:rsidRDefault="0090656E" w:rsidP="00D73B14">
      <w:pPr>
        <w:spacing w:after="60"/>
      </w:pPr>
      <w:r>
        <w:t>Connaître le profil de la charge</w:t>
      </w:r>
      <w:r>
        <w:t xml:space="preserve"> </w:t>
      </w:r>
      <w:r>
        <w:t>(plage de vitesse, couple et puissance) est essentiel pour</w:t>
      </w:r>
      <w:r>
        <w:t xml:space="preserve"> </w:t>
      </w:r>
      <w:r>
        <w:t>bien  sélectionner  l’association  moteur/convertisseur  de</w:t>
      </w:r>
      <w:r>
        <w:t xml:space="preserve"> </w:t>
      </w:r>
      <w:r>
        <w:t>fréquence pour l’application.</w:t>
      </w:r>
      <w:r w:rsidR="00D73B14" w:rsidRPr="00D73B14">
        <w:t xml:space="preserve"> </w:t>
      </w:r>
      <w:r w:rsidR="00D73B14">
        <w:t>Certains types de charge sont caractéristiques dans les applications industrielles.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3260"/>
        <w:gridCol w:w="3292"/>
      </w:tblGrid>
      <w:tr w:rsidR="0090656E" w:rsidTr="00D73B14">
        <w:tc>
          <w:tcPr>
            <w:tcW w:w="3227" w:type="dxa"/>
          </w:tcPr>
          <w:p w:rsidR="0090656E" w:rsidRPr="0090656E" w:rsidRDefault="0090656E" w:rsidP="0090656E">
            <w:pPr>
              <w:jc w:val="center"/>
              <w:rPr>
                <w:b/>
                <w:sz w:val="24"/>
                <w:szCs w:val="24"/>
              </w:rPr>
            </w:pPr>
            <w:r w:rsidRPr="0090656E">
              <w:rPr>
                <w:b/>
                <w:sz w:val="24"/>
                <w:szCs w:val="24"/>
              </w:rPr>
              <w:t>C</w:t>
            </w:r>
            <w:r w:rsidRPr="0090656E">
              <w:rPr>
                <w:b/>
                <w:sz w:val="24"/>
                <w:szCs w:val="24"/>
              </w:rPr>
              <w:t>ouple constant</w:t>
            </w:r>
          </w:p>
        </w:tc>
        <w:tc>
          <w:tcPr>
            <w:tcW w:w="3969" w:type="dxa"/>
            <w:gridSpan w:val="2"/>
          </w:tcPr>
          <w:p w:rsidR="0090656E" w:rsidRPr="0090656E" w:rsidRDefault="0090656E" w:rsidP="0090656E">
            <w:pPr>
              <w:jc w:val="center"/>
              <w:rPr>
                <w:b/>
                <w:sz w:val="24"/>
                <w:szCs w:val="24"/>
              </w:rPr>
            </w:pPr>
            <w:r w:rsidRPr="0090656E">
              <w:rPr>
                <w:b/>
                <w:sz w:val="24"/>
                <w:szCs w:val="24"/>
              </w:rPr>
              <w:t>Couple quadratique</w:t>
            </w:r>
          </w:p>
        </w:tc>
        <w:tc>
          <w:tcPr>
            <w:tcW w:w="3292" w:type="dxa"/>
          </w:tcPr>
          <w:p w:rsidR="0090656E" w:rsidRPr="0090656E" w:rsidRDefault="0090656E" w:rsidP="0090656E">
            <w:pPr>
              <w:jc w:val="center"/>
              <w:rPr>
                <w:b/>
                <w:sz w:val="24"/>
                <w:szCs w:val="24"/>
              </w:rPr>
            </w:pPr>
            <w:r w:rsidRPr="0090656E">
              <w:rPr>
                <w:b/>
                <w:sz w:val="24"/>
                <w:szCs w:val="24"/>
              </w:rPr>
              <w:t>Puissance constante</w:t>
            </w:r>
          </w:p>
        </w:tc>
      </w:tr>
      <w:tr w:rsidR="0090656E" w:rsidTr="00D73B14">
        <w:tc>
          <w:tcPr>
            <w:tcW w:w="3227" w:type="dxa"/>
          </w:tcPr>
          <w:p w:rsidR="0090656E" w:rsidRDefault="0090656E" w:rsidP="0090656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032115" wp14:editId="7818EE9A">
                  <wp:extent cx="1689486" cy="1433780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695" cy="143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90656E" w:rsidRDefault="0090656E" w:rsidP="0090656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F869130" wp14:editId="187CD966">
                  <wp:extent cx="1519319" cy="1433780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944" cy="143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:rsidR="0090656E" w:rsidRDefault="0090656E" w:rsidP="0090656E">
            <w:r>
              <w:rPr>
                <w:noProof/>
                <w:lang w:eastAsia="fr-FR"/>
              </w:rPr>
              <w:drawing>
                <wp:inline distT="0" distB="0" distL="0" distR="0" wp14:anchorId="08ACD462" wp14:editId="695C5B29">
                  <wp:extent cx="1649482" cy="1433780"/>
                  <wp:effectExtent l="0" t="0" r="825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749" cy="143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56E" w:rsidTr="00D73B14">
        <w:tc>
          <w:tcPr>
            <w:tcW w:w="3227" w:type="dxa"/>
          </w:tcPr>
          <w:p w:rsidR="0090656E" w:rsidRDefault="0090656E" w:rsidP="0090656E">
            <w:pPr>
              <w:rPr>
                <w:noProof/>
                <w:lang w:eastAsia="fr-FR"/>
              </w:rPr>
            </w:pPr>
            <w:r>
              <w:rPr>
                <w:sz w:val="20"/>
                <w:szCs w:val="20"/>
              </w:rPr>
              <w:t>L</w:t>
            </w:r>
            <w:r w:rsidRPr="0090656E">
              <w:rPr>
                <w:sz w:val="20"/>
                <w:szCs w:val="20"/>
              </w:rPr>
              <w:t xml:space="preserve">es </w:t>
            </w:r>
            <w:r>
              <w:rPr>
                <w:sz w:val="20"/>
                <w:szCs w:val="20"/>
              </w:rPr>
              <w:t xml:space="preserve">chargeurs, les appareils de levage </w:t>
            </w:r>
            <w:r w:rsidRPr="0090656E">
              <w:rPr>
                <w:sz w:val="20"/>
                <w:szCs w:val="20"/>
              </w:rPr>
              <w:t>et les convoyeurs sont des applications à couple constant typiques. Le couple est constant et la puissance est linéairement proportionnelle à la vitesse.</w:t>
            </w:r>
          </w:p>
        </w:tc>
        <w:tc>
          <w:tcPr>
            <w:tcW w:w="3969" w:type="dxa"/>
            <w:gridSpan w:val="2"/>
          </w:tcPr>
          <w:p w:rsidR="00D73B14" w:rsidRDefault="0090656E" w:rsidP="0090656E">
            <w:pPr>
              <w:rPr>
                <w:sz w:val="20"/>
                <w:szCs w:val="20"/>
              </w:rPr>
            </w:pPr>
            <w:r w:rsidRPr="0090656E">
              <w:rPr>
                <w:sz w:val="20"/>
                <w:szCs w:val="20"/>
              </w:rPr>
              <w:t>Les charges à couple quadratique sont les plus répandues,</w:t>
            </w:r>
            <w:r>
              <w:rPr>
                <w:sz w:val="20"/>
                <w:szCs w:val="20"/>
              </w:rPr>
              <w:t xml:space="preserve"> </w:t>
            </w:r>
            <w:r w:rsidRPr="0090656E">
              <w:rPr>
                <w:sz w:val="20"/>
                <w:szCs w:val="20"/>
              </w:rPr>
              <w:t xml:space="preserve">avec des </w:t>
            </w:r>
            <w:r>
              <w:rPr>
                <w:sz w:val="20"/>
                <w:szCs w:val="20"/>
              </w:rPr>
              <w:t>a</w:t>
            </w:r>
            <w:r w:rsidRPr="0090656E">
              <w:rPr>
                <w:sz w:val="20"/>
                <w:szCs w:val="20"/>
              </w:rPr>
              <w:t>pplications comme les ventilateurs et les pompes</w:t>
            </w:r>
            <w:r>
              <w:rPr>
                <w:sz w:val="20"/>
                <w:szCs w:val="20"/>
              </w:rPr>
              <w:t xml:space="preserve"> </w:t>
            </w:r>
            <w:r w:rsidRPr="0090656E">
              <w:rPr>
                <w:sz w:val="20"/>
                <w:szCs w:val="20"/>
              </w:rPr>
              <w:t>centrifuges.  Le  couple  est  proportionnel  au  carré  de  la</w:t>
            </w:r>
            <w:r>
              <w:rPr>
                <w:sz w:val="20"/>
                <w:szCs w:val="20"/>
              </w:rPr>
              <w:t xml:space="preserve"> </w:t>
            </w:r>
            <w:r w:rsidRPr="0090656E">
              <w:rPr>
                <w:sz w:val="20"/>
                <w:szCs w:val="20"/>
              </w:rPr>
              <w:t>vitesse et la puissance au cube de la vitesse.</w:t>
            </w:r>
            <w:r w:rsidR="00D73B14">
              <w:rPr>
                <w:sz w:val="20"/>
                <w:szCs w:val="20"/>
              </w:rPr>
              <w:t xml:space="preserve"> </w:t>
            </w:r>
          </w:p>
          <w:p w:rsidR="0090656E" w:rsidRPr="00D73B14" w:rsidRDefault="00D73B14" w:rsidP="00D73B14">
            <w:pPr>
              <w:rPr>
                <w:i/>
              </w:rPr>
            </w:pPr>
            <w:r w:rsidRPr="00D73B14">
              <w:rPr>
                <w:i/>
                <w:sz w:val="20"/>
                <w:szCs w:val="20"/>
              </w:rPr>
              <w:t>Les véhicules répondent également à ce modèle si on prend en compte les efforts aérodynamiques</w:t>
            </w:r>
          </w:p>
        </w:tc>
        <w:tc>
          <w:tcPr>
            <w:tcW w:w="3292" w:type="dxa"/>
          </w:tcPr>
          <w:p w:rsidR="0090656E" w:rsidRDefault="0090656E" w:rsidP="00D73B14">
            <w:r w:rsidRPr="0090656E">
              <w:rPr>
                <w:sz w:val="20"/>
                <w:szCs w:val="20"/>
              </w:rPr>
              <w:t xml:space="preserve">Une charge à puissance constante est typique d’une </w:t>
            </w:r>
            <w:r>
              <w:rPr>
                <w:sz w:val="20"/>
                <w:szCs w:val="20"/>
              </w:rPr>
              <w:t>ma</w:t>
            </w:r>
            <w:r w:rsidRPr="0090656E">
              <w:rPr>
                <w:sz w:val="20"/>
                <w:szCs w:val="20"/>
              </w:rPr>
              <w:t>chine qui enroule ou déroule un matériau, le diamètre de la</w:t>
            </w:r>
            <w:r w:rsidR="00D73B14">
              <w:rPr>
                <w:sz w:val="20"/>
                <w:szCs w:val="20"/>
              </w:rPr>
              <w:t xml:space="preserve"> </w:t>
            </w:r>
            <w:r w:rsidRPr="0090656E">
              <w:rPr>
                <w:sz w:val="20"/>
                <w:szCs w:val="20"/>
              </w:rPr>
              <w:t>bobine variant au fur et à mesure de l’enroulage/déroulage.</w:t>
            </w:r>
            <w:r>
              <w:rPr>
                <w:sz w:val="20"/>
                <w:szCs w:val="20"/>
              </w:rPr>
              <w:t xml:space="preserve"> </w:t>
            </w:r>
            <w:r w:rsidRPr="0090656E">
              <w:rPr>
                <w:sz w:val="20"/>
                <w:szCs w:val="20"/>
              </w:rPr>
              <w:t>La puissance est constante et le couple est inversement</w:t>
            </w:r>
            <w:r>
              <w:rPr>
                <w:sz w:val="20"/>
                <w:szCs w:val="20"/>
              </w:rPr>
              <w:t xml:space="preserve"> </w:t>
            </w:r>
            <w:r w:rsidRPr="0090656E">
              <w:rPr>
                <w:sz w:val="20"/>
                <w:szCs w:val="20"/>
              </w:rPr>
              <w:t>proportionnel à la vitesse.</w:t>
            </w:r>
          </w:p>
        </w:tc>
      </w:tr>
      <w:tr w:rsidR="0090656E" w:rsidTr="00D73B14">
        <w:tc>
          <w:tcPr>
            <w:tcW w:w="7196" w:type="dxa"/>
            <w:gridSpan w:val="3"/>
          </w:tcPr>
          <w:p w:rsidR="0090656E" w:rsidRPr="0090656E" w:rsidRDefault="0090656E" w:rsidP="0090656E">
            <w:pPr>
              <w:jc w:val="center"/>
              <w:rPr>
                <w:sz w:val="20"/>
                <w:szCs w:val="20"/>
              </w:rPr>
            </w:pPr>
            <w:r w:rsidRPr="0090656E">
              <w:rPr>
                <w:b/>
                <w:sz w:val="24"/>
                <w:szCs w:val="24"/>
              </w:rPr>
              <w:t>Couple de démarrage élevé</w:t>
            </w:r>
          </w:p>
        </w:tc>
        <w:tc>
          <w:tcPr>
            <w:tcW w:w="3292" w:type="dxa"/>
          </w:tcPr>
          <w:p w:rsidR="0090656E" w:rsidRPr="0090656E" w:rsidRDefault="0090656E" w:rsidP="0090656E">
            <w:pPr>
              <w:rPr>
                <w:sz w:val="20"/>
                <w:szCs w:val="20"/>
              </w:rPr>
            </w:pPr>
          </w:p>
        </w:tc>
      </w:tr>
      <w:tr w:rsidR="0090656E" w:rsidTr="00D73B14">
        <w:tc>
          <w:tcPr>
            <w:tcW w:w="3936" w:type="dxa"/>
            <w:gridSpan w:val="2"/>
          </w:tcPr>
          <w:p w:rsidR="0090656E" w:rsidRPr="0090656E" w:rsidRDefault="002F7AC6" w:rsidP="00906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Certaines </w:t>
            </w:r>
            <w:r w:rsidR="0090656E" w:rsidRPr="0090656E">
              <w:rPr>
                <w:sz w:val="20"/>
                <w:szCs w:val="20"/>
              </w:rPr>
              <w:t>applicatio</w:t>
            </w:r>
            <w:r>
              <w:rPr>
                <w:sz w:val="20"/>
                <w:szCs w:val="20"/>
              </w:rPr>
              <w:t xml:space="preserve">ns exigent un couple élevé </w:t>
            </w:r>
            <w:r w:rsidR="0090656E" w:rsidRPr="0090656E">
              <w:rPr>
                <w:sz w:val="20"/>
                <w:szCs w:val="20"/>
              </w:rPr>
              <w:t>à  basse</w:t>
            </w:r>
            <w:r>
              <w:rPr>
                <w:sz w:val="20"/>
                <w:szCs w:val="20"/>
              </w:rPr>
              <w:t xml:space="preserve"> vitesse, facteur qui </w:t>
            </w:r>
            <w:r w:rsidR="0090656E" w:rsidRPr="0090656E">
              <w:rPr>
                <w:sz w:val="20"/>
                <w:szCs w:val="20"/>
              </w:rPr>
              <w:t>doit</w:t>
            </w:r>
            <w:r>
              <w:rPr>
                <w:sz w:val="20"/>
                <w:szCs w:val="20"/>
              </w:rPr>
              <w:t xml:space="preserve"> être pris en compte lors </w:t>
            </w:r>
            <w:r w:rsidR="0090656E" w:rsidRPr="0090656E">
              <w:rPr>
                <w:sz w:val="20"/>
                <w:szCs w:val="20"/>
              </w:rPr>
              <w:t>du</w:t>
            </w:r>
            <w:r>
              <w:rPr>
                <w:sz w:val="20"/>
                <w:szCs w:val="20"/>
              </w:rPr>
              <w:t xml:space="preserve"> </w:t>
            </w:r>
            <w:r w:rsidR="0090656E" w:rsidRPr="0090656E">
              <w:rPr>
                <w:sz w:val="20"/>
                <w:szCs w:val="20"/>
              </w:rPr>
              <w:t xml:space="preserve">dimensionnement. Parmi les </w:t>
            </w:r>
            <w:r>
              <w:rPr>
                <w:sz w:val="20"/>
                <w:szCs w:val="20"/>
              </w:rPr>
              <w:t>a</w:t>
            </w:r>
            <w:r w:rsidR="0090656E" w:rsidRPr="0090656E">
              <w:rPr>
                <w:sz w:val="20"/>
                <w:szCs w:val="20"/>
              </w:rPr>
              <w:t>pplications courantes de ce</w:t>
            </w:r>
          </w:p>
          <w:p w:rsidR="00D73B14" w:rsidRDefault="0090656E" w:rsidP="002F7AC6">
            <w:pPr>
              <w:rPr>
                <w:b/>
                <w:sz w:val="24"/>
                <w:szCs w:val="24"/>
              </w:rPr>
            </w:pPr>
            <w:r w:rsidRPr="0090656E">
              <w:rPr>
                <w:sz w:val="20"/>
                <w:szCs w:val="20"/>
              </w:rPr>
              <w:t>type de charge, citons les extrudeuses et les pompes à</w:t>
            </w:r>
            <w:r w:rsidR="002F7AC6">
              <w:rPr>
                <w:sz w:val="20"/>
                <w:szCs w:val="20"/>
              </w:rPr>
              <w:t xml:space="preserve"> </w:t>
            </w:r>
            <w:r w:rsidRPr="0090656E">
              <w:rPr>
                <w:sz w:val="20"/>
                <w:szCs w:val="20"/>
              </w:rPr>
              <w:t>vis.</w:t>
            </w:r>
          </w:p>
          <w:p w:rsidR="0090656E" w:rsidRPr="00D73B14" w:rsidRDefault="00D73B14" w:rsidP="00D73B14">
            <w:pPr>
              <w:tabs>
                <w:tab w:val="left" w:pos="1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90656E" w:rsidRDefault="0090656E" w:rsidP="0090656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4D0FB2" wp14:editId="0F5FE055">
                  <wp:extent cx="1608296" cy="1384084"/>
                  <wp:effectExtent l="0" t="0" r="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188" cy="138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292" w:type="dxa"/>
          </w:tcPr>
          <w:p w:rsidR="0090656E" w:rsidRPr="0090656E" w:rsidRDefault="0090656E" w:rsidP="0090656E">
            <w:pPr>
              <w:rPr>
                <w:sz w:val="20"/>
                <w:szCs w:val="20"/>
              </w:rPr>
            </w:pPr>
          </w:p>
        </w:tc>
      </w:tr>
    </w:tbl>
    <w:p w:rsidR="0090656E" w:rsidRDefault="0090656E" w:rsidP="00D73B14"/>
    <w:sectPr w:rsidR="0090656E" w:rsidSect="00D73B14">
      <w:headerReference w:type="default" r:id="rId21"/>
      <w:footerReference w:type="default" r:id="rId22"/>
      <w:pgSz w:w="11906" w:h="16838"/>
      <w:pgMar w:top="1100" w:right="849" w:bottom="567" w:left="709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84" w:rsidRDefault="007B2484" w:rsidP="009B2F19">
      <w:pPr>
        <w:spacing w:after="0" w:line="240" w:lineRule="auto"/>
      </w:pPr>
      <w:r>
        <w:separator/>
      </w:r>
    </w:p>
  </w:endnote>
  <w:endnote w:type="continuationSeparator" w:id="0">
    <w:p w:rsidR="007B2484" w:rsidRDefault="007B2484" w:rsidP="009B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FA" w:rsidRDefault="001451FA">
    <w:pPr>
      <w:pStyle w:val="Pieddepage"/>
    </w:pPr>
    <w:r>
      <w:t xml:space="preserve">JC Rolin </w:t>
    </w:r>
    <w:r>
      <w:tab/>
    </w:r>
    <w:sdt>
      <w:sdtPr>
        <w:id w:val="6622077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73B14">
          <w:rPr>
            <w:noProof/>
          </w:rPr>
          <w:t>2</w:t>
        </w:r>
        <w:r>
          <w:fldChar w:fldCharType="end"/>
        </w:r>
        <w:r>
          <w:tab/>
          <w:t xml:space="preserve">Lycée </w:t>
        </w:r>
        <w:proofErr w:type="spellStart"/>
        <w:r>
          <w:t>G.Eiffel</w:t>
        </w:r>
        <w:proofErr w:type="spellEnd"/>
        <w:r>
          <w:t xml:space="preserve"> Dijon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84" w:rsidRDefault="007B2484" w:rsidP="009B2F19">
      <w:pPr>
        <w:spacing w:after="0" w:line="240" w:lineRule="auto"/>
      </w:pPr>
      <w:r>
        <w:separator/>
      </w:r>
    </w:p>
  </w:footnote>
  <w:footnote w:type="continuationSeparator" w:id="0">
    <w:p w:rsidR="007B2484" w:rsidRDefault="007B2484" w:rsidP="009B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19" w:rsidRPr="009B2F19" w:rsidRDefault="009B2F19" w:rsidP="009B2F19">
    <w:pPr>
      <w:pStyle w:val="En-tte"/>
      <w:jc w:val="center"/>
      <w:rPr>
        <w:sz w:val="24"/>
        <w:szCs w:val="24"/>
      </w:rPr>
    </w:pPr>
    <w:r w:rsidRPr="009B2F19">
      <w:rPr>
        <w:sz w:val="24"/>
        <w:szCs w:val="24"/>
      </w:rPr>
      <w:t>ANNEXE 1 : Modélisation PSIM d’un entraînement</w:t>
    </w:r>
    <w:r>
      <w:rPr>
        <w:sz w:val="24"/>
        <w:szCs w:val="24"/>
      </w:rPr>
      <w:t xml:space="preserve"> pa</w:t>
    </w:r>
    <w:r w:rsidRPr="009B2F19">
      <w:rPr>
        <w:sz w:val="24"/>
        <w:szCs w:val="24"/>
      </w:rPr>
      <w:t>r motor</w:t>
    </w:r>
    <w:r w:rsidR="001451FA">
      <w:rPr>
        <w:sz w:val="24"/>
        <w:szCs w:val="24"/>
      </w:rPr>
      <w:t>éducteur d’une charge mécanique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D4"/>
    <w:rsid w:val="001334E3"/>
    <w:rsid w:val="001451FA"/>
    <w:rsid w:val="001521D4"/>
    <w:rsid w:val="001A61F0"/>
    <w:rsid w:val="002606E3"/>
    <w:rsid w:val="002F7AC6"/>
    <w:rsid w:val="0035005A"/>
    <w:rsid w:val="005322D7"/>
    <w:rsid w:val="006B2980"/>
    <w:rsid w:val="006F612D"/>
    <w:rsid w:val="00787D07"/>
    <w:rsid w:val="007B2484"/>
    <w:rsid w:val="0090656E"/>
    <w:rsid w:val="009B2F19"/>
    <w:rsid w:val="00B636A1"/>
    <w:rsid w:val="00BA04B3"/>
    <w:rsid w:val="00BB25FB"/>
    <w:rsid w:val="00BF5643"/>
    <w:rsid w:val="00C30DB0"/>
    <w:rsid w:val="00D73B14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1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3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F19"/>
  </w:style>
  <w:style w:type="paragraph" w:styleId="Pieddepage">
    <w:name w:val="footer"/>
    <w:basedOn w:val="Normal"/>
    <w:link w:val="PieddepageCar"/>
    <w:uiPriority w:val="99"/>
    <w:unhideWhenUsed/>
    <w:rsid w:val="009B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1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3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F19"/>
  </w:style>
  <w:style w:type="paragraph" w:styleId="Pieddepage">
    <w:name w:val="footer"/>
    <w:basedOn w:val="Normal"/>
    <w:link w:val="PieddepageCar"/>
    <w:uiPriority w:val="99"/>
    <w:unhideWhenUsed/>
    <w:rsid w:val="009B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</dc:creator>
  <cp:lastModifiedBy>JCR</cp:lastModifiedBy>
  <cp:revision>8</cp:revision>
  <cp:lastPrinted>2015-09-04T15:09:00Z</cp:lastPrinted>
  <dcterms:created xsi:type="dcterms:W3CDTF">2015-09-04T14:20:00Z</dcterms:created>
  <dcterms:modified xsi:type="dcterms:W3CDTF">2015-09-04T15:45:00Z</dcterms:modified>
</cp:coreProperties>
</file>